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公务员面试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考生集中抽签处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2.考生应遵守防疫规定，</w:t>
      </w:r>
      <w:r>
        <w:rPr>
          <w:rFonts w:hint="eastAsia" w:ascii="仿宋_GB2312" w:hAnsi="Times New Roman" w:eastAsia="仿宋_GB2312"/>
          <w:bCs/>
          <w:sz w:val="32"/>
          <w:szCs w:val="32"/>
        </w:rPr>
        <w:t>如实报告健康状况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</w:rPr>
        <w:t>旅居史、接触史等疫情防控信息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按要求佩戴口罩，出示健康码、通信大数据行程卡，接受体温测量。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考生通过抽签确定考场与面试顺序号。在考生集中抽签处，每组派一名考生代表抽签确定该组所在考场。在候考室，每名考生抽签确定面试顺序号。考生不得交换抽签顺序号，不得向他人透露抽签考场号与顺序号信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、不得做违反考试公平公正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原则的其他事情。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78FA"/>
    <w:rsid w:val="491E78FA"/>
    <w:rsid w:val="5AB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2020-09-15T03:39:00Z</dcterms:created>
  <dc:creator>潘bingqing</dc:creator>
  <cp:lastModifiedBy>潘bingqing</cp:lastModifiedBy>
  <dcterms:modified xsi:type="dcterms:W3CDTF">2020-09-15T03:42:43Z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